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89" w:rsidRDefault="00FB316B" w:rsidP="00FB316B">
      <w:pPr>
        <w:keepNext/>
        <w:spacing w:before="240" w:after="60" w:line="276" w:lineRule="auto"/>
        <w:jc w:val="center"/>
        <w:outlineLvl w:val="0"/>
        <w:rPr>
          <w:rFonts w:ascii="Calibri" w:eastAsia="Times New Roman" w:hAnsi="Calibri"/>
          <w:b/>
          <w:bCs/>
          <w:kern w:val="32"/>
          <w:sz w:val="22"/>
          <w:szCs w:val="22"/>
        </w:rPr>
      </w:pPr>
      <w:r w:rsidRPr="009565D1">
        <w:rPr>
          <w:noProof/>
        </w:rPr>
        <w:drawing>
          <wp:inline distT="0" distB="0" distL="0" distR="0">
            <wp:extent cx="5886450" cy="514350"/>
            <wp:effectExtent l="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D8108E">
        <w:rPr>
          <w:rFonts w:ascii="Calibri" w:hAnsi="Calibri"/>
          <w:sz w:val="22"/>
          <w:szCs w:val="22"/>
        </w:rPr>
        <w:br/>
      </w:r>
      <w:r w:rsidRPr="00F64E9C">
        <w:rPr>
          <w:rFonts w:ascii="Calibri" w:hAnsi="Calibri"/>
          <w:sz w:val="22"/>
          <w:szCs w:val="22"/>
        </w:rPr>
        <w:lastRenderedPageBreak/>
        <w:t>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D8108E" w:rsidRDefault="00D8108E" w:rsidP="002D65CF">
      <w:pPr>
        <w:spacing w:line="276" w:lineRule="auto"/>
        <w:jc w:val="both"/>
        <w:rPr>
          <w:rFonts w:ascii="Calibri" w:hAnsi="Calibri"/>
          <w:sz w:val="22"/>
          <w:szCs w:val="22"/>
        </w:rPr>
      </w:pPr>
    </w:p>
    <w:p w:rsidR="00D8108E" w:rsidRPr="00FC702A" w:rsidRDefault="00D8108E" w:rsidP="002D65CF">
      <w:pPr>
        <w:spacing w:line="276" w:lineRule="auto"/>
        <w:jc w:val="both"/>
        <w:rPr>
          <w:rFonts w:ascii="Calibri" w:hAnsi="Calibri"/>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za kwalifikowalne.</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za niekwalifikowalne odpowiedniemu pomniejszeniu ulega również wartość kwalifikowalnych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Wydatki związane z zakupem środków trwałych, określone w Wytycznych w zakresie kwalifikowalności,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cross-</w:t>
      </w:r>
      <w:proofErr w:type="spellStart"/>
      <w:r w:rsidRPr="002D65CF">
        <w:rPr>
          <w:rFonts w:ascii="Calibri" w:hAnsi="Calibri"/>
          <w:sz w:val="22"/>
          <w:szCs w:val="22"/>
        </w:rPr>
        <w:t>financingiem</w:t>
      </w:r>
      <w:proofErr w:type="spellEnd"/>
      <w:r w:rsidRPr="002D65CF">
        <w:rPr>
          <w:rFonts w:ascii="Calibri" w:hAnsi="Calibri"/>
          <w:sz w:val="22"/>
          <w:szCs w:val="22"/>
        </w:rPr>
        <w:t xml:space="preserve">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lastRenderedPageBreak/>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i niedyskryminacji, w tym dostępności dla osób z niepełnosprawnościami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A86AF2" w:rsidRDefault="00A86AF2" w:rsidP="009139E6">
      <w:pPr>
        <w:pStyle w:val="Tekstpodstawowy"/>
        <w:spacing w:line="276" w:lineRule="auto"/>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xml:space="preserve">, o ile wydatki zostaną uznane za </w:t>
      </w:r>
      <w:r w:rsidRPr="002D65CF">
        <w:rPr>
          <w:rFonts w:ascii="Calibri" w:hAnsi="Calibri"/>
          <w:sz w:val="22"/>
          <w:szCs w:val="22"/>
        </w:rPr>
        <w:lastRenderedPageBreak/>
        <w:t>kwalifikowalne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lastRenderedPageBreak/>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lastRenderedPageBreak/>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w:t>
      </w:r>
      <w:r w:rsidR="00E854E2">
        <w:rPr>
          <w:rFonts w:ascii="Calibri" w:hAnsi="Calibri"/>
          <w:sz w:val="22"/>
          <w:szCs w:val="22"/>
        </w:rPr>
        <w:lastRenderedPageBreak/>
        <w:t>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lastRenderedPageBreak/>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w:t>
      </w:r>
      <w:r w:rsidRPr="00FC702A">
        <w:rPr>
          <w:rFonts w:ascii="Calibri" w:hAnsi="Calibri"/>
          <w:sz w:val="22"/>
          <w:szCs w:val="22"/>
        </w:rPr>
        <w:lastRenderedPageBreak/>
        <w:t xml:space="preserve">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A6201D" w:rsidRDefault="00A6201D"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 xml:space="preserve">dokonywania wydatków w sposób celowy </w:t>
      </w:r>
      <w:r w:rsidRPr="00FC702A">
        <w:rPr>
          <w:rFonts w:ascii="Calibri" w:hAnsi="Calibri"/>
          <w:sz w:val="22"/>
          <w:szCs w:val="22"/>
        </w:rPr>
        <w:lastRenderedPageBreak/>
        <w:t>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lastRenderedPageBreak/>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A6201D" w:rsidRDefault="00A6201D"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D046D8" w:rsidRDefault="00E61248" w:rsidP="00D046D8">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t>
      </w:r>
      <w:r w:rsidR="00D046D8" w:rsidRPr="00D046D8">
        <w:rPr>
          <w:rFonts w:ascii="Calibri" w:hAnsi="Calibri"/>
          <w:sz w:val="22"/>
          <w:szCs w:val="22"/>
        </w:rPr>
        <w:t xml:space="preserve"> </w:t>
      </w:r>
      <w:r w:rsidR="00D046D8">
        <w:rPr>
          <w:rFonts w:ascii="Calibri" w:hAnsi="Calibri"/>
          <w:sz w:val="22"/>
          <w:szCs w:val="22"/>
        </w:rPr>
        <w:t>IZ RPOWP może podjąć decyzję o odstąpieniu od rozliczenia projektu zgodnie z regułą proporcjonalności w przypadku wystąpienia siły wyższej</w:t>
      </w:r>
      <w:r w:rsidR="00D046D8" w:rsidRPr="00F64E9C">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z nieosiągniętym wskaźnikiem w stosunku do całkowitej kwoty wydatków kwalifikowalnych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A6201D" w:rsidRDefault="00A6201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r w:rsidR="00D046D8">
        <w:rPr>
          <w:rStyle w:val="Odwoanieprzypisudolnego"/>
          <w:rFonts w:ascii="Calibri" w:hAnsi="Calibri"/>
          <w:sz w:val="22"/>
          <w:szCs w:val="22"/>
        </w:rPr>
        <w:footnoteReference w:id="38"/>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lastRenderedPageBreak/>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D6309" w:rsidRDefault="00AD6309" w:rsidP="00A62EB3">
      <w:pPr>
        <w:autoSpaceDE w:val="0"/>
        <w:autoSpaceDN w:val="0"/>
        <w:adjustRightInd w:val="0"/>
        <w:spacing w:before="120" w:after="120" w:line="276" w:lineRule="auto"/>
        <w:jc w:val="center"/>
        <w:rPr>
          <w:rFonts w:ascii="Calibri" w:hAnsi="Calibri"/>
          <w:b/>
          <w:sz w:val="22"/>
          <w:szCs w:val="22"/>
        </w:rPr>
      </w:pP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lastRenderedPageBreak/>
        <w:t>i 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w:t>
      </w:r>
      <w:proofErr w:type="spellStart"/>
      <w:r w:rsidRPr="00FC702A">
        <w:rPr>
          <w:rFonts w:ascii="Calibri" w:hAnsi="Calibri"/>
          <w:sz w:val="22"/>
          <w:szCs w:val="22"/>
        </w:rPr>
        <w:t>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 xml:space="preserve">o udzielenie zamówienia publicznego lub zasady konkurencyjności, przekraczających 10% środków alokowanych na dane zadanie, mogą one być wykorzystane przez Beneficjenta wyłącznie za pisemną zgodą </w:t>
      </w:r>
      <w:r w:rsidRPr="00FC702A">
        <w:rPr>
          <w:rFonts w:ascii="Calibri" w:hAnsi="Calibri"/>
          <w:sz w:val="22"/>
          <w:szCs w:val="22"/>
        </w:rPr>
        <w:lastRenderedPageBreak/>
        <w:t>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w:t>
      </w:r>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lastRenderedPageBreak/>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Default="00FE2590" w:rsidP="00FE2590">
      <w:pPr>
        <w:spacing w:after="60" w:line="276" w:lineRule="auto"/>
        <w:jc w:val="both"/>
        <w:rPr>
          <w:rFonts w:ascii="Calibri" w:hAnsi="Calibri"/>
          <w:sz w:val="22"/>
          <w:szCs w:val="22"/>
        </w:rPr>
      </w:pPr>
    </w:p>
    <w:p w:rsidR="00AD6309" w:rsidRPr="00F64E9C" w:rsidRDefault="00AD6309"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9"/>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261305" w:rsidRPr="009139E6" w:rsidRDefault="00FB316B" w:rsidP="00FB316B">
      <w:pPr>
        <w:spacing w:after="60" w:line="276" w:lineRule="auto"/>
        <w:jc w:val="center"/>
        <w:rPr>
          <w:rFonts w:ascii="Calibri" w:hAnsi="Calibri"/>
          <w:b/>
          <w:sz w:val="22"/>
          <w:szCs w:val="22"/>
        </w:rPr>
      </w:pPr>
      <w:r w:rsidRPr="009565D1">
        <w:rPr>
          <w:noProof/>
        </w:rPr>
        <w:lastRenderedPageBreak/>
        <w:drawing>
          <wp:inline distT="0" distB="0" distL="0" distR="0">
            <wp:extent cx="5886450" cy="514350"/>
            <wp:effectExtent l="0" t="0" r="0" b="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FB316B" w:rsidRDefault="00FB316B" w:rsidP="009067BC">
      <w:pPr>
        <w:spacing w:after="60" w:line="276" w:lineRule="auto"/>
        <w:jc w:val="both"/>
        <w:rPr>
          <w:rFonts w:ascii="Calibri" w:hAnsi="Calibri"/>
          <w:b/>
          <w:sz w:val="22"/>
          <w:szCs w:val="22"/>
        </w:rPr>
      </w:pPr>
    </w:p>
    <w:p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6"/>
        <w:gridCol w:w="1978"/>
      </w:tblGrid>
      <w:tr w:rsidR="00A6201D" w:rsidRPr="00FC702A" w:rsidTr="009139E6">
        <w:trPr>
          <w:trHeight w:val="1272"/>
          <w:jc w:val="center"/>
        </w:trPr>
        <w:tc>
          <w:tcPr>
            <w:tcW w:w="2256"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rsidTr="009139E6">
        <w:trPr>
          <w:trHeight w:val="636"/>
          <w:jc w:val="center"/>
        </w:trPr>
        <w:tc>
          <w:tcPr>
            <w:tcW w:w="2256"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A6201D" w:rsidRDefault="00A6201D"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AD6309" w:rsidRDefault="00AD6309"/>
    <w:p w:rsidR="009067BC" w:rsidRDefault="009067BC"/>
    <w:p w:rsidR="00BF423F" w:rsidRDefault="00BF423F" w:rsidP="009067BC">
      <w:pPr>
        <w:spacing w:line="276" w:lineRule="auto"/>
        <w:jc w:val="both"/>
        <w:rPr>
          <w:rFonts w:ascii="Calibri" w:hAnsi="Calibri"/>
          <w:sz w:val="22"/>
          <w:szCs w:val="22"/>
        </w:rPr>
      </w:pPr>
    </w:p>
    <w:p w:rsidR="00AD6309" w:rsidRDefault="00AD6309" w:rsidP="009067BC">
      <w:pPr>
        <w:spacing w:line="276" w:lineRule="auto"/>
        <w:jc w:val="both"/>
        <w:rPr>
          <w:rFonts w:ascii="Calibri" w:hAnsi="Calibri"/>
          <w:sz w:val="22"/>
          <w:szCs w:val="22"/>
        </w:rPr>
      </w:pPr>
    </w:p>
    <w:p w:rsidR="00AD6309" w:rsidRPr="00614F4B" w:rsidRDefault="00FB316B" w:rsidP="00FB316B">
      <w:pPr>
        <w:spacing w:after="200" w:line="276" w:lineRule="auto"/>
        <w:jc w:val="center"/>
        <w:rPr>
          <w:rFonts w:ascii="Calibri" w:hAnsi="Calibri"/>
          <w:bCs/>
          <w:i/>
          <w:iCs/>
          <w:sz w:val="20"/>
          <w:szCs w:val="20"/>
        </w:rPr>
      </w:pPr>
      <w:r w:rsidRPr="009565D1">
        <w:rPr>
          <w:noProof/>
        </w:rPr>
        <w:drawing>
          <wp:inline distT="0" distB="0" distL="0" distR="0">
            <wp:extent cx="5886450" cy="514350"/>
            <wp:effectExtent l="0" t="0" r="0" b="0"/>
            <wp:docPr id="3"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261305" w:rsidRDefault="00261305" w:rsidP="009067BC">
      <w:pPr>
        <w:spacing w:line="276" w:lineRule="auto"/>
        <w:jc w:val="both"/>
        <w:rPr>
          <w:rFonts w:ascii="Calibri" w:hAnsi="Calibri"/>
          <w:sz w:val="22"/>
          <w:szCs w:val="22"/>
        </w:rPr>
      </w:pPr>
    </w:p>
    <w:p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p>
    <w:p w:rsidR="00AD6309" w:rsidRDefault="00FB316B" w:rsidP="00DB1CC0">
      <w:pPr>
        <w:spacing w:line="276" w:lineRule="auto"/>
        <w:ind w:firstLine="142"/>
        <w:jc w:val="both"/>
        <w:rPr>
          <w:rFonts w:ascii="Calibri" w:hAnsi="Calibri"/>
          <w:sz w:val="22"/>
          <w:szCs w:val="22"/>
        </w:rPr>
      </w:pPr>
      <w:r w:rsidRPr="009565D1">
        <w:rPr>
          <w:noProof/>
        </w:rPr>
        <w:drawing>
          <wp:inline distT="0" distB="0" distL="0" distR="0">
            <wp:extent cx="5886450" cy="514350"/>
            <wp:effectExtent l="0" t="0" r="0" b="0"/>
            <wp:docPr id="4"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FB316B" w:rsidP="00FB316B">
      <w:pPr>
        <w:spacing w:line="276" w:lineRule="auto"/>
        <w:jc w:val="center"/>
        <w:rPr>
          <w:rFonts w:ascii="Calibri" w:hAnsi="Calibri"/>
          <w:b/>
          <w:sz w:val="22"/>
          <w:szCs w:val="22"/>
        </w:rPr>
      </w:pPr>
      <w:bookmarkStart w:id="0" w:name="_Toc401667505"/>
      <w:r w:rsidRPr="009565D1">
        <w:rPr>
          <w:noProof/>
        </w:rPr>
        <w:lastRenderedPageBreak/>
        <w:drawing>
          <wp:inline distT="0" distB="0" distL="0" distR="0">
            <wp:extent cx="5886450" cy="514350"/>
            <wp:effectExtent l="0" t="0" r="0" b="0"/>
            <wp:docPr id="5"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rsidR="008A2811" w:rsidRPr="008A2811" w:rsidRDefault="008A2811" w:rsidP="008A2811">
      <w:pPr>
        <w:spacing w:line="276" w:lineRule="auto"/>
        <w:jc w:val="both"/>
        <w:rPr>
          <w:rFonts w:ascii="Calibri" w:hAnsi="Calibri"/>
          <w:sz w:val="22"/>
          <w:szCs w:val="22"/>
        </w:rPr>
      </w:pPr>
    </w:p>
    <w:p w:rsidR="003D7646" w:rsidRDefault="008A2811" w:rsidP="003D7646">
      <w:pPr>
        <w:spacing w:line="276" w:lineRule="auto"/>
        <w:jc w:val="both"/>
        <w:rPr>
          <w:rFonts w:ascii="Calibri" w:hAnsi="Calibri"/>
          <w: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rsidR="003D7646" w:rsidRDefault="003D7646" w:rsidP="008A2811">
      <w:pPr>
        <w:spacing w:line="276" w:lineRule="auto"/>
        <w:jc w:val="both"/>
        <w:rPr>
          <w:rFonts w:ascii="Calibri" w:hAnsi="Calibri"/>
          <w:sz w:val="22"/>
          <w:szCs w:val="22"/>
        </w:rPr>
      </w:pPr>
    </w:p>
    <w:p w:rsidR="003D7646" w:rsidRDefault="003D7646"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892B5A">
        <w:rPr>
          <w:rFonts w:ascii="Calibri" w:hAnsi="Calibri"/>
          <w:sz w:val="22"/>
          <w:szCs w:val="22"/>
        </w:rPr>
        <w:br/>
      </w:r>
      <w:r w:rsidRPr="008A2811">
        <w:rPr>
          <w:rFonts w:ascii="Calibri" w:hAnsi="Calibri"/>
          <w:sz w:val="22"/>
          <w:szCs w:val="22"/>
        </w:rPr>
        <w:t xml:space="preserve">w związku z realizacją Regionalnego Programu Operacyjnego Województwa Podlaskiego na lata 2014-2020 </w:t>
      </w:r>
      <w:r w:rsidRPr="008A2811">
        <w:rPr>
          <w:rFonts w:ascii="Calibri" w:hAnsi="Calibri"/>
          <w:sz w:val="22"/>
          <w:szCs w:val="22"/>
        </w:rPr>
        <w:lastRenderedPageBreak/>
        <w:t xml:space="preserve">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o którym mowa</w:t>
      </w:r>
      <w:r w:rsidR="00892B5A">
        <w:rPr>
          <w:rFonts w:ascii="Calibri" w:hAnsi="Calibri"/>
          <w:sz w:val="22"/>
          <w:szCs w:val="22"/>
        </w:rPr>
        <w:br/>
      </w:r>
      <w:r w:rsidRPr="008A2811">
        <w:rPr>
          <w:rFonts w:ascii="Calibri" w:hAnsi="Calibri"/>
          <w:sz w:val="22"/>
          <w:szCs w:val="22"/>
        </w:rPr>
        <w:t xml:space="preserve">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2D65CF" w:rsidRDefault="008A2811" w:rsidP="002D65CF">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lastRenderedPageBreak/>
        <w:t>§ 3</w:t>
      </w:r>
    </w:p>
    <w:p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 xml:space="preserve">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w:t>
      </w:r>
      <w:r w:rsidRPr="008A2811">
        <w:rPr>
          <w:rFonts w:ascii="Calibri" w:hAnsi="Calibri"/>
          <w:sz w:val="22"/>
          <w:szCs w:val="22"/>
        </w:rPr>
        <w:lastRenderedPageBreak/>
        <w:t>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1"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lastRenderedPageBreak/>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8A2811" w:rsidRDefault="00FB316B" w:rsidP="00FB316B">
      <w:pPr>
        <w:spacing w:line="276" w:lineRule="auto"/>
        <w:jc w:val="center"/>
        <w:rPr>
          <w:rFonts w:ascii="Calibri" w:hAnsi="Calibri"/>
          <w:b/>
          <w:sz w:val="22"/>
          <w:szCs w:val="22"/>
        </w:rPr>
      </w:pPr>
      <w:r w:rsidRPr="009565D1">
        <w:rPr>
          <w:noProof/>
        </w:rPr>
        <w:lastRenderedPageBreak/>
        <w:drawing>
          <wp:inline distT="0" distB="0" distL="0" distR="0">
            <wp:extent cx="5886450" cy="514350"/>
            <wp:effectExtent l="0" t="0" r="0" b="0"/>
            <wp:docPr id="6"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7A5C1B" w:rsidRPr="008A2811" w:rsidRDefault="007A5C1B"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D046D8" w:rsidP="00D046D8">
            <w:pPr>
              <w:spacing w:line="276" w:lineRule="auto"/>
              <w:rPr>
                <w:rFonts w:ascii="Calibri" w:hAnsi="Calibri"/>
                <w:b/>
              </w:rPr>
            </w:pPr>
            <w:r w:rsidRPr="00E73CF5">
              <w:rPr>
                <w:rFonts w:ascii="Calibri" w:hAnsi="Calibri"/>
                <w:sz w:val="22"/>
                <w:szCs w:val="22"/>
              </w:rPr>
              <w:t xml:space="preserve">Osoba w innej niekorzystnej sytuacji społecznej </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Default="008A2811" w:rsidP="008A2811">
      <w:pPr>
        <w:spacing w:line="276" w:lineRule="auto"/>
        <w:rPr>
          <w:rFonts w:ascii="Calibri" w:hAnsi="Calibri"/>
          <w:sz w:val="22"/>
          <w:szCs w:val="22"/>
        </w:rPr>
      </w:pPr>
    </w:p>
    <w:p w:rsidR="007A5C1B" w:rsidRPr="008A2811" w:rsidRDefault="007A5C1B"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Default="008A2811" w:rsidP="008A2811">
      <w:pPr>
        <w:spacing w:line="276" w:lineRule="auto"/>
        <w:rPr>
          <w:rFonts w:ascii="Calibri" w:hAnsi="Calibri"/>
          <w:sz w:val="22"/>
          <w:szCs w:val="22"/>
        </w:rPr>
      </w:pPr>
    </w:p>
    <w:p w:rsidR="00FB316B" w:rsidRPr="008A2811" w:rsidRDefault="00FB316B" w:rsidP="00FB316B">
      <w:pPr>
        <w:spacing w:line="276" w:lineRule="auto"/>
        <w:jc w:val="center"/>
        <w:rPr>
          <w:rFonts w:ascii="Calibri" w:hAnsi="Calibri"/>
          <w:sz w:val="22"/>
          <w:szCs w:val="22"/>
        </w:rPr>
      </w:pPr>
      <w:r w:rsidRPr="009565D1">
        <w:rPr>
          <w:noProof/>
        </w:rPr>
        <w:lastRenderedPageBreak/>
        <w:drawing>
          <wp:inline distT="0" distB="0" distL="0" distR="0">
            <wp:extent cx="5886450" cy="514350"/>
            <wp:effectExtent l="0" t="0" r="0" b="0"/>
            <wp:docPr id="7" name="Obraz 7"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FB316B" w:rsidRDefault="00FB316B"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FB316B" w:rsidP="00FB316B">
      <w:pPr>
        <w:suppressAutoHyphens/>
        <w:spacing w:line="276" w:lineRule="auto"/>
        <w:ind w:left="15"/>
        <w:jc w:val="center"/>
        <w:rPr>
          <w:rFonts w:ascii="Calibri" w:eastAsia="Times New Roman" w:hAnsi="Calibri"/>
          <w:color w:val="000000"/>
          <w:spacing w:val="-1"/>
          <w:sz w:val="22"/>
          <w:szCs w:val="22"/>
          <w:lang w:eastAsia="ar-SA"/>
        </w:rPr>
      </w:pPr>
      <w:r w:rsidRPr="009565D1">
        <w:rPr>
          <w:noProof/>
        </w:rPr>
        <w:drawing>
          <wp:inline distT="0" distB="0" distL="0" distR="0">
            <wp:extent cx="5886450" cy="514350"/>
            <wp:effectExtent l="0" t="0" r="0" b="0"/>
            <wp:docPr id="8" name="Obraz 8"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3D7646" w:rsidRPr="00F64E9C" w:rsidRDefault="003D7646" w:rsidP="003D7646">
      <w:pPr>
        <w:pStyle w:val="Text"/>
        <w:spacing w:line="276" w:lineRule="auto"/>
        <w:ind w:firstLine="0"/>
        <w:jc w:val="center"/>
        <w:rPr>
          <w:rFonts w:ascii="Calibri" w:hAnsi="Calibri"/>
          <w:b/>
          <w:bCs/>
          <w:sz w:val="22"/>
          <w:szCs w:val="22"/>
          <w:lang w:val="pl-PL"/>
        </w:rPr>
      </w:pPr>
    </w:p>
    <w:p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3D7646" w:rsidRPr="00F64E9C" w:rsidRDefault="003D7646" w:rsidP="003D7646">
      <w:pPr>
        <w:pStyle w:val="Text"/>
        <w:spacing w:line="276" w:lineRule="auto"/>
        <w:ind w:firstLine="709"/>
        <w:jc w:val="both"/>
        <w:rPr>
          <w:rFonts w:ascii="Calibri" w:hAnsi="Calibri"/>
          <w:sz w:val="22"/>
          <w:szCs w:val="22"/>
          <w:lang w:val="pl-PL"/>
        </w:rPr>
      </w:pPr>
    </w:p>
    <w:p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pacing w:line="276" w:lineRule="auto"/>
        <w:jc w:val="both"/>
        <w:rPr>
          <w:rFonts w:ascii="Calibri" w:hAnsi="Calibri"/>
          <w:sz w:val="22"/>
          <w:szCs w:val="22"/>
        </w:rPr>
      </w:pPr>
    </w:p>
    <w:p w:rsidR="007A5C1B" w:rsidRPr="008A2811" w:rsidRDefault="00FB316B" w:rsidP="00FB316B">
      <w:pPr>
        <w:spacing w:line="276" w:lineRule="auto"/>
        <w:jc w:val="center"/>
        <w:rPr>
          <w:rFonts w:ascii="Calibri" w:hAnsi="Calibri"/>
          <w:sz w:val="22"/>
          <w:szCs w:val="22"/>
        </w:rPr>
      </w:pPr>
      <w:r w:rsidRPr="009565D1">
        <w:rPr>
          <w:noProof/>
        </w:rPr>
        <w:lastRenderedPageBreak/>
        <w:drawing>
          <wp:inline distT="0" distB="0" distL="0" distR="0">
            <wp:extent cx="5886450" cy="514350"/>
            <wp:effectExtent l="0" t="0" r="0" b="0"/>
            <wp:docPr id="9" name="Obraz 9"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FB316B" w:rsidP="00FB316B">
      <w:pPr>
        <w:spacing w:line="276" w:lineRule="auto"/>
        <w:jc w:val="center"/>
        <w:rPr>
          <w:rFonts w:ascii="Calibri" w:hAnsi="Calibri"/>
          <w:b/>
          <w:sz w:val="22"/>
          <w:szCs w:val="22"/>
        </w:rPr>
      </w:pPr>
      <w:r w:rsidRPr="009565D1">
        <w:rPr>
          <w:noProof/>
        </w:rPr>
        <w:lastRenderedPageBreak/>
        <w:drawing>
          <wp:inline distT="0" distB="0" distL="0" distR="0">
            <wp:extent cx="5886450" cy="514350"/>
            <wp:effectExtent l="0" t="0" r="0" b="0"/>
            <wp:docPr id="10" name="Obraz 10"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FB316B" w:rsidRDefault="00FB316B" w:rsidP="002D65CF">
      <w:pPr>
        <w:spacing w:line="276" w:lineRule="auto"/>
        <w:jc w:val="both"/>
        <w:rPr>
          <w:rFonts w:ascii="Calibri" w:hAnsi="Calibri"/>
          <w:b/>
          <w:sz w:val="22"/>
          <w:szCs w:val="22"/>
        </w:rPr>
      </w:pPr>
    </w:p>
    <w:p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Default="00FB316B" w:rsidP="00FB316B">
      <w:pPr>
        <w:spacing w:line="276" w:lineRule="auto"/>
        <w:jc w:val="center"/>
        <w:rPr>
          <w:rFonts w:ascii="Calibri" w:hAnsi="Calibri"/>
          <w:b/>
          <w:spacing w:val="4"/>
          <w:sz w:val="22"/>
          <w:szCs w:val="22"/>
        </w:rPr>
      </w:pPr>
      <w:r w:rsidRPr="009565D1">
        <w:rPr>
          <w:noProof/>
        </w:rPr>
        <w:lastRenderedPageBreak/>
        <w:drawing>
          <wp:inline distT="0" distB="0" distL="0" distR="0">
            <wp:extent cx="5886450" cy="514350"/>
            <wp:effectExtent l="0" t="0" r="0" b="0"/>
            <wp:docPr id="11" name="Obraz 1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7A5C1B" w:rsidRDefault="007A5C1B" w:rsidP="008A2811">
      <w:pPr>
        <w:spacing w:line="276" w:lineRule="auto"/>
        <w:jc w:val="both"/>
        <w:rPr>
          <w:rFonts w:ascii="Calibri" w:hAnsi="Calibri"/>
          <w:b/>
          <w:spacing w:val="4"/>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2"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3"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lastRenderedPageBreak/>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Pr="00F64E9C" w:rsidRDefault="00A6201D"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657A00" w:rsidRDefault="00FB316B" w:rsidP="00FB316B">
      <w:pPr>
        <w:spacing w:line="276" w:lineRule="auto"/>
        <w:jc w:val="center"/>
        <w:rPr>
          <w:rFonts w:ascii="Calibri" w:eastAsia="Times New Roman" w:hAnsi="Calibri"/>
          <w:b/>
          <w:bCs/>
          <w:i/>
          <w:iCs/>
          <w:kern w:val="32"/>
          <w:sz w:val="22"/>
          <w:szCs w:val="22"/>
        </w:rPr>
      </w:pPr>
      <w:r w:rsidRPr="009565D1">
        <w:rPr>
          <w:noProof/>
        </w:rPr>
        <w:lastRenderedPageBreak/>
        <w:drawing>
          <wp:inline distT="0" distB="0" distL="0" distR="0">
            <wp:extent cx="5886450" cy="514350"/>
            <wp:effectExtent l="0" t="0" r="0" b="0"/>
            <wp:docPr id="12" name="Obraz 1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0"/>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A820D1" w:rsidRPr="00FC702A" w:rsidTr="00544059">
        <w:tc>
          <w:tcPr>
            <w:tcW w:w="9212" w:type="dxa"/>
            <w:gridSpan w:val="2"/>
            <w:shd w:val="clear" w:color="auto" w:fill="D9D9D9" w:themeFill="background1" w:themeFillShade="D9"/>
          </w:tcPr>
          <w:p w:rsidR="00A820D1" w:rsidRPr="00FC702A" w:rsidRDefault="00A820D1" w:rsidP="009067BC">
            <w:pPr>
              <w:spacing w:line="276" w:lineRule="auto"/>
              <w:rPr>
                <w:rFonts w:ascii="Calibri" w:hAnsi="Calibri"/>
              </w:rPr>
            </w:pPr>
            <w:r>
              <w:rPr>
                <w:rFonts w:ascii="Calibri" w:hAnsi="Calibri"/>
                <w:bCs/>
                <w:sz w:val="22"/>
                <w:szCs w:val="22"/>
              </w:rPr>
              <w:t>Planowana data zakończenia edukacji w placówce edukacyjnej, w której skorzystano ze wsparcia</w:t>
            </w:r>
          </w:p>
        </w:tc>
      </w:tr>
      <w:tr w:rsidR="00A820D1" w:rsidRPr="00FC702A" w:rsidTr="00962632">
        <w:tc>
          <w:tcPr>
            <w:tcW w:w="9212" w:type="dxa"/>
            <w:gridSpan w:val="2"/>
            <w:shd w:val="clear" w:color="auto" w:fill="auto"/>
          </w:tcPr>
          <w:p w:rsidR="00A820D1" w:rsidRPr="00FC702A" w:rsidRDefault="00A820D1"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4"/>
          <w:pgSz w:w="11906" w:h="16838"/>
          <w:pgMar w:top="709" w:right="991" w:bottom="993" w:left="993" w:header="709" w:footer="403" w:gutter="0"/>
          <w:cols w:space="708"/>
          <w:titlePg/>
          <w:docGrid w:linePitch="360"/>
        </w:sectPr>
      </w:pPr>
    </w:p>
    <w:p w:rsidR="007B5102" w:rsidRPr="007A5C1B" w:rsidRDefault="00FB316B" w:rsidP="007B5102">
      <w:pPr>
        <w:spacing w:line="276" w:lineRule="auto"/>
        <w:jc w:val="center"/>
        <w:rPr>
          <w:rFonts w:ascii="Calibri" w:hAnsi="Calibri"/>
          <w:b/>
          <w:bCs/>
          <w:i/>
          <w:iCs/>
          <w:sz w:val="22"/>
          <w:szCs w:val="22"/>
        </w:rPr>
      </w:pPr>
      <w:r w:rsidRPr="009565D1">
        <w:rPr>
          <w:noProof/>
        </w:rPr>
        <w:lastRenderedPageBreak/>
        <w:drawing>
          <wp:anchor distT="0" distB="0" distL="114300" distR="114300" simplePos="0" relativeHeight="251658240" behindDoc="1" locked="0" layoutInCell="1" allowOverlap="1">
            <wp:simplePos x="0" y="0"/>
            <wp:positionH relativeFrom="column">
              <wp:posOffset>1633855</wp:posOffset>
            </wp:positionH>
            <wp:positionV relativeFrom="paragraph">
              <wp:posOffset>-471170</wp:posOffset>
            </wp:positionV>
            <wp:extent cx="5886000" cy="514800"/>
            <wp:effectExtent l="0" t="0" r="635" b="0"/>
            <wp:wrapNone/>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000" cy="51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192D" w:rsidRDefault="00E1192D" w:rsidP="009067BC">
      <w:pPr>
        <w:spacing w:line="276" w:lineRule="auto"/>
        <w:rPr>
          <w:rFonts w:ascii="Calibri" w:hAnsi="Calibri"/>
          <w:b/>
          <w:sz w:val="22"/>
          <w:szCs w:val="22"/>
        </w:rPr>
      </w:pPr>
      <w:bookmarkStart w:id="1" w:name="_GoBack"/>
      <w:bookmarkEnd w:id="1"/>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294" w:rsidRDefault="00875294" w:rsidP="00FE2590">
      <w:r>
        <w:separator/>
      </w:r>
    </w:p>
  </w:endnote>
  <w:endnote w:type="continuationSeparator" w:id="0">
    <w:p w:rsidR="00875294" w:rsidRDefault="00875294"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94" w:rsidRPr="00D42C8B" w:rsidRDefault="00795D07">
    <w:pPr>
      <w:pStyle w:val="Stopka"/>
      <w:jc w:val="right"/>
      <w:rPr>
        <w:rFonts w:ascii="Calibri" w:hAnsi="Calibri"/>
        <w:sz w:val="20"/>
      </w:rPr>
    </w:pPr>
    <w:r w:rsidRPr="00D42C8B">
      <w:rPr>
        <w:rFonts w:ascii="Calibri" w:hAnsi="Calibri"/>
        <w:sz w:val="20"/>
      </w:rPr>
      <w:fldChar w:fldCharType="begin"/>
    </w:r>
    <w:r w:rsidR="00875294" w:rsidRPr="00D42C8B">
      <w:rPr>
        <w:rFonts w:ascii="Calibri" w:hAnsi="Calibri"/>
        <w:sz w:val="20"/>
      </w:rPr>
      <w:instrText xml:space="preserve"> PAGE   \* MERGEFORMAT </w:instrText>
    </w:r>
    <w:r w:rsidRPr="00D42C8B">
      <w:rPr>
        <w:rFonts w:ascii="Calibri" w:hAnsi="Calibri"/>
        <w:sz w:val="20"/>
      </w:rPr>
      <w:fldChar w:fldCharType="separate"/>
    </w:r>
    <w:r w:rsidR="00FB316B">
      <w:rPr>
        <w:rFonts w:ascii="Calibri" w:hAnsi="Calibri"/>
        <w:noProof/>
        <w:sz w:val="20"/>
      </w:rPr>
      <w:t>45</w:t>
    </w:r>
    <w:r w:rsidRPr="00D42C8B">
      <w:rPr>
        <w:rFonts w:ascii="Calibri" w:hAnsi="Calibri"/>
        <w:sz w:val="20"/>
      </w:rPr>
      <w:fldChar w:fldCharType="end"/>
    </w:r>
  </w:p>
  <w:p w:rsidR="00875294" w:rsidRDefault="008752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294" w:rsidRDefault="00875294" w:rsidP="00FE2590">
      <w:r>
        <w:separator/>
      </w:r>
    </w:p>
  </w:footnote>
  <w:footnote w:type="continuationSeparator" w:id="0">
    <w:p w:rsidR="00875294" w:rsidRDefault="00875294" w:rsidP="00FE2590">
      <w:r>
        <w:continuationSeparator/>
      </w:r>
    </w:p>
  </w:footnote>
  <w:footnote w:id="1">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875294" w:rsidRPr="00D8108E" w:rsidRDefault="00875294"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rsidR="00875294" w:rsidRPr="00D8108E"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875294" w:rsidRDefault="00875294"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875294" w:rsidRPr="006B2D66" w:rsidRDefault="00875294"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875294" w:rsidRDefault="00875294"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875294" w:rsidRDefault="00875294"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875294" w:rsidRPr="00F50354" w:rsidRDefault="00875294"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rsidR="00875294" w:rsidRPr="002D65CF" w:rsidRDefault="00875294">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rsidR="00875294" w:rsidRPr="00DB1CC0"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875294" w:rsidRPr="002679BD" w:rsidRDefault="008752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875294" w:rsidRPr="003C198D" w:rsidRDefault="008752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875294" w:rsidRPr="002679BD" w:rsidRDefault="008752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875294" w:rsidRPr="002679BD" w:rsidRDefault="008752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w:t>
      </w:r>
      <w:proofErr w:type="spellStart"/>
      <w:r w:rsidRPr="002D65CF">
        <w:rPr>
          <w:rFonts w:ascii="Calibri" w:hAnsi="Calibri"/>
          <w:sz w:val="16"/>
          <w:szCs w:val="16"/>
        </w:rPr>
        <w:t>rzy</w:t>
      </w:r>
      <w:proofErr w:type="spellEnd"/>
      <w:r w:rsidRPr="002D65CF">
        <w:rPr>
          <w:rFonts w:ascii="Calibri" w:hAnsi="Calibri"/>
          <w:sz w:val="16"/>
          <w:szCs w:val="16"/>
        </w:rPr>
        <w:t xml:space="preserve"> są zobowiązani do stosowania przepisów ustawy PZP.</w:t>
      </w:r>
    </w:p>
  </w:footnote>
  <w:footnote w:id="34">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rsidR="00875294" w:rsidRPr="002679BD"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rsidR="00875294" w:rsidRPr="004F7237"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046D8" w:rsidRPr="002F1875" w:rsidRDefault="00D046D8" w:rsidP="00D046D8">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39">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rsidR="00875294" w:rsidRPr="00657E8A"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rsidR="00875294" w:rsidRPr="002679BD" w:rsidRDefault="00875294"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 xml:space="preserve">Barwy Rzeczpospolitej Polskiej mogą występować tylko w wersji </w:t>
      </w:r>
      <w:proofErr w:type="spellStart"/>
      <w:r w:rsidRPr="002D65CF">
        <w:rPr>
          <w:rFonts w:asciiTheme="minorHAnsi" w:hAnsiTheme="minorHAnsi"/>
          <w:bCs/>
          <w:sz w:val="16"/>
          <w:szCs w:val="16"/>
        </w:rPr>
        <w:t>pełnokolorowej</w:t>
      </w:r>
      <w:proofErr w:type="spellEnd"/>
      <w:r w:rsidRPr="002D65CF">
        <w:rPr>
          <w:rFonts w:asciiTheme="minorHAnsi" w:hAnsiTheme="minorHAnsi"/>
          <w:sz w:val="16"/>
          <w:szCs w:val="16"/>
        </w:rPr>
        <w:t xml:space="preserve"> (zgodnie z ustawą o symbolach państwowych, barwami Rzeczypospolitej Polskiej są kolory biały i czerwony).</w:t>
      </w:r>
    </w:p>
  </w:footnote>
  <w:footnote w:id="4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sidR="00AD6309">
        <w:rPr>
          <w:rFonts w:ascii="Calibri" w:hAnsi="Calibri"/>
          <w:sz w:val="16"/>
          <w:szCs w:val="16"/>
        </w:rPr>
        <w:br/>
      </w:r>
      <w:r w:rsidRPr="002679BD">
        <w:rPr>
          <w:rFonts w:ascii="Calibri" w:hAnsi="Calibri"/>
          <w:sz w:val="16"/>
          <w:szCs w:val="16"/>
        </w:rPr>
        <w:t>z określonym rezultatem.</w:t>
      </w:r>
    </w:p>
  </w:footnote>
  <w:footnote w:id="4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rsidR="00875294" w:rsidRPr="00907FC8" w:rsidRDefault="00875294"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kwalifikowalnych.</w:t>
      </w:r>
      <w:r>
        <w:rPr>
          <w:rFonts w:ascii="Calibri" w:hAnsi="Calibri" w:cs="Calibri"/>
          <w:sz w:val="16"/>
          <w:szCs w:val="16"/>
        </w:rPr>
        <w:t xml:space="preserve"> </w:t>
      </w:r>
    </w:p>
  </w:footnote>
  <w:footnote w:id="49">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875294" w:rsidRPr="002679BD" w:rsidRDefault="00875294"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rsidR="00875294" w:rsidRPr="002679BD" w:rsidRDefault="008752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rsidR="00875294" w:rsidRPr="009067BC" w:rsidRDefault="008752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sidR="00AD6309">
        <w:rPr>
          <w:rFonts w:ascii="Calibri" w:hAnsi="Calibri"/>
          <w:sz w:val="16"/>
          <w:szCs w:val="16"/>
        </w:rPr>
        <w:t>.</w:t>
      </w:r>
    </w:p>
  </w:footnote>
  <w:footnote w:id="5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rsidR="00875294" w:rsidRPr="002679BD" w:rsidRDefault="00875294"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875294" w:rsidRPr="002679BD" w:rsidRDefault="00875294" w:rsidP="009067BC">
      <w:pPr>
        <w:pStyle w:val="Tekstprzypisudolnego"/>
        <w:rPr>
          <w:rFonts w:ascii="Calibri" w:hAnsi="Calibri" w:cs="Arial"/>
          <w:sz w:val="16"/>
          <w:szCs w:val="16"/>
        </w:rPr>
      </w:pPr>
    </w:p>
  </w:footnote>
  <w:footnote w:id="58">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rsidR="00875294" w:rsidRPr="00864D50" w:rsidRDefault="00875294"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w:t>
      </w:r>
      <w:proofErr w:type="spellStart"/>
      <w:r w:rsidRPr="002D65CF">
        <w:rPr>
          <w:rFonts w:asciiTheme="minorHAnsi" w:hAnsiTheme="minorHAnsi"/>
          <w:sz w:val="16"/>
          <w:szCs w:val="16"/>
        </w:rPr>
        <w:t>ami</w:t>
      </w:r>
      <w:proofErr w:type="spellEnd"/>
      <w:r w:rsidRPr="002D65CF">
        <w:rPr>
          <w:rFonts w:asciiTheme="minorHAnsi" w:hAnsiTheme="minorHAnsi"/>
          <w:sz w:val="16"/>
          <w:szCs w:val="16"/>
        </w:rPr>
        <w:t xml:space="preserve"> wskazanymi we wniosku. </w:t>
      </w:r>
    </w:p>
  </w:footnote>
  <w:footnote w:id="6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rsidR="00875294" w:rsidRDefault="00875294"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rsidR="00875294" w:rsidRPr="002D65CF" w:rsidRDefault="00875294"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rsidR="00875294" w:rsidRPr="007C7C34" w:rsidRDefault="00875294"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rsidR="00875294" w:rsidRPr="002679BD" w:rsidRDefault="00875294"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94" w:rsidRDefault="008752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8"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3"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2"/>
  </w:num>
  <w:num w:numId="2">
    <w:abstractNumId w:val="49"/>
  </w:num>
  <w:num w:numId="3">
    <w:abstractNumId w:val="18"/>
  </w:num>
  <w:num w:numId="4">
    <w:abstractNumId w:val="74"/>
  </w:num>
  <w:num w:numId="5">
    <w:abstractNumId w:val="69"/>
  </w:num>
  <w:num w:numId="6">
    <w:abstractNumId w:val="8"/>
  </w:num>
  <w:num w:numId="7">
    <w:abstractNumId w:val="6"/>
  </w:num>
  <w:num w:numId="8">
    <w:abstractNumId w:val="47"/>
  </w:num>
  <w:num w:numId="9">
    <w:abstractNumId w:val="54"/>
  </w:num>
  <w:num w:numId="10">
    <w:abstractNumId w:val="46"/>
  </w:num>
  <w:num w:numId="11">
    <w:abstractNumId w:val="24"/>
  </w:num>
  <w:num w:numId="12">
    <w:abstractNumId w:val="59"/>
  </w:num>
  <w:num w:numId="13">
    <w:abstractNumId w:val="82"/>
  </w:num>
  <w:num w:numId="14">
    <w:abstractNumId w:val="60"/>
  </w:num>
  <w:num w:numId="15">
    <w:abstractNumId w:val="43"/>
  </w:num>
  <w:num w:numId="16">
    <w:abstractNumId w:val="35"/>
  </w:num>
  <w:num w:numId="17">
    <w:abstractNumId w:val="68"/>
  </w:num>
  <w:num w:numId="18">
    <w:abstractNumId w:val="16"/>
  </w:num>
  <w:num w:numId="19">
    <w:abstractNumId w:val="37"/>
  </w:num>
  <w:num w:numId="20">
    <w:abstractNumId w:val="22"/>
  </w:num>
  <w:num w:numId="21">
    <w:abstractNumId w:val="73"/>
  </w:num>
  <w:num w:numId="22">
    <w:abstractNumId w:val="29"/>
  </w:num>
  <w:num w:numId="23">
    <w:abstractNumId w:val="31"/>
  </w:num>
  <w:num w:numId="24">
    <w:abstractNumId w:val="30"/>
  </w:num>
  <w:num w:numId="25">
    <w:abstractNumId w:val="25"/>
  </w:num>
  <w:num w:numId="26">
    <w:abstractNumId w:val="66"/>
  </w:num>
  <w:num w:numId="27">
    <w:abstractNumId w:val="41"/>
  </w:num>
  <w:num w:numId="28">
    <w:abstractNumId w:val="39"/>
  </w:num>
  <w:num w:numId="29">
    <w:abstractNumId w:val="6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23"/>
  </w:num>
  <w:num w:numId="36">
    <w:abstractNumId w:val="40"/>
  </w:num>
  <w:num w:numId="37">
    <w:abstractNumId w:val="13"/>
  </w:num>
  <w:num w:numId="38">
    <w:abstractNumId w:val="14"/>
  </w:num>
  <w:num w:numId="39">
    <w:abstractNumId w:val="33"/>
  </w:num>
  <w:num w:numId="40">
    <w:abstractNumId w:val="57"/>
  </w:num>
  <w:num w:numId="41">
    <w:abstractNumId w:val="51"/>
  </w:num>
  <w:num w:numId="42">
    <w:abstractNumId w:val="26"/>
  </w:num>
  <w:num w:numId="43">
    <w:abstractNumId w:val="28"/>
  </w:num>
  <w:num w:numId="44">
    <w:abstractNumId w:val="1"/>
  </w:num>
  <w:num w:numId="45">
    <w:abstractNumId w:val="81"/>
  </w:num>
  <w:num w:numId="46">
    <w:abstractNumId w:val="11"/>
  </w:num>
  <w:num w:numId="47">
    <w:abstractNumId w:val="3"/>
  </w:num>
  <w:num w:numId="48">
    <w:abstractNumId w:val="78"/>
  </w:num>
  <w:num w:numId="49">
    <w:abstractNumId w:val="75"/>
  </w:num>
  <w:num w:numId="50">
    <w:abstractNumId w:val="55"/>
  </w:num>
  <w:num w:numId="51">
    <w:abstractNumId w:val="21"/>
  </w:num>
  <w:num w:numId="52">
    <w:abstractNumId w:val="52"/>
  </w:num>
  <w:num w:numId="53">
    <w:abstractNumId w:val="34"/>
  </w:num>
  <w:num w:numId="54">
    <w:abstractNumId w:val="45"/>
  </w:num>
  <w:num w:numId="55">
    <w:abstractNumId w:val="9"/>
  </w:num>
  <w:num w:numId="56">
    <w:abstractNumId w:val="38"/>
  </w:num>
  <w:num w:numId="57">
    <w:abstractNumId w:val="17"/>
  </w:num>
  <w:num w:numId="58">
    <w:abstractNumId w:val="63"/>
  </w:num>
  <w:num w:numId="59">
    <w:abstractNumId w:val="2"/>
  </w:num>
  <w:num w:numId="60">
    <w:abstractNumId w:val="7"/>
  </w:num>
  <w:num w:numId="61">
    <w:abstractNumId w:val="79"/>
  </w:num>
  <w:num w:numId="62">
    <w:abstractNumId w:val="12"/>
  </w:num>
  <w:num w:numId="63">
    <w:abstractNumId w:val="80"/>
  </w:num>
  <w:num w:numId="64">
    <w:abstractNumId w:val="4"/>
  </w:num>
  <w:num w:numId="65">
    <w:abstractNumId w:val="61"/>
  </w:num>
  <w:num w:numId="66">
    <w:abstractNumId w:val="77"/>
  </w:num>
  <w:num w:numId="67">
    <w:abstractNumId w:val="58"/>
  </w:num>
  <w:num w:numId="68">
    <w:abstractNumId w:val="19"/>
  </w:num>
  <w:num w:numId="69">
    <w:abstractNumId w:val="56"/>
  </w:num>
  <w:num w:numId="70">
    <w:abstractNumId w:val="0"/>
  </w:num>
  <w:num w:numId="71">
    <w:abstractNumId w:val="27"/>
  </w:num>
  <w:num w:numId="72">
    <w:abstractNumId w:val="76"/>
  </w:num>
  <w:num w:numId="73">
    <w:abstractNumId w:val="44"/>
  </w:num>
  <w:num w:numId="74">
    <w:abstractNumId w:val="71"/>
  </w:num>
  <w:num w:numId="75">
    <w:abstractNumId w:val="67"/>
  </w:num>
  <w:num w:numId="76">
    <w:abstractNumId w:val="53"/>
  </w:num>
  <w:num w:numId="77">
    <w:abstractNumId w:val="72"/>
  </w:num>
  <w:num w:numId="78">
    <w:abstractNumId w:val="50"/>
  </w:num>
  <w:num w:numId="79">
    <w:abstractNumId w:val="32"/>
  </w:num>
  <w:num w:numId="80">
    <w:abstractNumId w:val="7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5"/>
  </w:num>
  <w:num w:numId="84">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1511A"/>
    <w:rsid w:val="000223D0"/>
    <w:rsid w:val="00023C7B"/>
    <w:rsid w:val="00024EE9"/>
    <w:rsid w:val="000376E9"/>
    <w:rsid w:val="00041EED"/>
    <w:rsid w:val="00046AA9"/>
    <w:rsid w:val="000509B9"/>
    <w:rsid w:val="00055879"/>
    <w:rsid w:val="000602E6"/>
    <w:rsid w:val="00062E59"/>
    <w:rsid w:val="00064638"/>
    <w:rsid w:val="0006519D"/>
    <w:rsid w:val="00072D16"/>
    <w:rsid w:val="00095ABD"/>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5699"/>
    <w:rsid w:val="00206322"/>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C0572"/>
    <w:rsid w:val="002D65CF"/>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E09F4"/>
    <w:rsid w:val="004E4283"/>
    <w:rsid w:val="005048DD"/>
    <w:rsid w:val="0051339F"/>
    <w:rsid w:val="00524506"/>
    <w:rsid w:val="00536FD0"/>
    <w:rsid w:val="005404B8"/>
    <w:rsid w:val="00544059"/>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46CBA"/>
    <w:rsid w:val="0085482C"/>
    <w:rsid w:val="008669DB"/>
    <w:rsid w:val="00867819"/>
    <w:rsid w:val="0087312A"/>
    <w:rsid w:val="00875294"/>
    <w:rsid w:val="00881FDD"/>
    <w:rsid w:val="00892B5A"/>
    <w:rsid w:val="008971E0"/>
    <w:rsid w:val="008A2811"/>
    <w:rsid w:val="008A7FA7"/>
    <w:rsid w:val="008B5C49"/>
    <w:rsid w:val="008B639F"/>
    <w:rsid w:val="008D085B"/>
    <w:rsid w:val="008D5812"/>
    <w:rsid w:val="008F4950"/>
    <w:rsid w:val="009067BC"/>
    <w:rsid w:val="009139E6"/>
    <w:rsid w:val="0094409C"/>
    <w:rsid w:val="0095724E"/>
    <w:rsid w:val="009619DF"/>
    <w:rsid w:val="00973F1D"/>
    <w:rsid w:val="009862AA"/>
    <w:rsid w:val="009967A2"/>
    <w:rsid w:val="00996999"/>
    <w:rsid w:val="009D222A"/>
    <w:rsid w:val="009D5C3C"/>
    <w:rsid w:val="009E4953"/>
    <w:rsid w:val="00A053E4"/>
    <w:rsid w:val="00A06847"/>
    <w:rsid w:val="00A27468"/>
    <w:rsid w:val="00A31BB7"/>
    <w:rsid w:val="00A533D2"/>
    <w:rsid w:val="00A6201D"/>
    <w:rsid w:val="00A62EB3"/>
    <w:rsid w:val="00A820D1"/>
    <w:rsid w:val="00A82A02"/>
    <w:rsid w:val="00A86AF2"/>
    <w:rsid w:val="00A93A84"/>
    <w:rsid w:val="00AA4B02"/>
    <w:rsid w:val="00AA6A1C"/>
    <w:rsid w:val="00AC0C97"/>
    <w:rsid w:val="00AD6309"/>
    <w:rsid w:val="00AF197A"/>
    <w:rsid w:val="00AF288C"/>
    <w:rsid w:val="00B3693E"/>
    <w:rsid w:val="00B43205"/>
    <w:rsid w:val="00B469A4"/>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787B"/>
    <w:rsid w:val="00C24A26"/>
    <w:rsid w:val="00C70F0B"/>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B316B"/>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4660D0A-8ABA-49A1-AF62-E08C9DD3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rotapodlas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po.wrotapodlasia.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17967-8AF6-44EE-91EB-0E188D23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14812</Words>
  <Characters>88878</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Barbara</cp:lastModifiedBy>
  <cp:revision>3</cp:revision>
  <cp:lastPrinted>2019-01-22T07:20:00Z</cp:lastPrinted>
  <dcterms:created xsi:type="dcterms:W3CDTF">2019-01-23T08:18:00Z</dcterms:created>
  <dcterms:modified xsi:type="dcterms:W3CDTF">2019-03-27T08:18:00Z</dcterms:modified>
</cp:coreProperties>
</file>